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B7643" w14:textId="3D422324" w:rsidR="00E16FA5" w:rsidRPr="00E16FA5" w:rsidRDefault="00E16FA5" w:rsidP="00E16FA5">
      <w:pPr>
        <w:spacing w:after="0" w:line="240" w:lineRule="auto"/>
        <w:rPr>
          <w:rFonts w:ascii="Calibri" w:eastAsia="Times New Roman" w:hAnsi="Calibri" w:cs="Times New Roman"/>
          <w:b/>
          <w:bCs/>
          <w:color w:val="C00000"/>
          <w:kern w:val="0"/>
          <w:sz w:val="24"/>
          <w:szCs w:val="24"/>
          <w:u w:val="single"/>
          <w14:ligatures w14:val="none"/>
        </w:rPr>
      </w:pPr>
      <w:proofErr w:type="gramStart"/>
      <w:r w:rsidRPr="00E16FA5">
        <w:rPr>
          <w:rFonts w:ascii="Calibri" w:eastAsia="Times New Roman" w:hAnsi="Calibri" w:cs="Times New Roman"/>
          <w:b/>
          <w:bCs/>
          <w:color w:val="C00000"/>
          <w:kern w:val="0"/>
          <w:sz w:val="24"/>
          <w:szCs w:val="24"/>
          <w:u w:val="single"/>
          <w14:ligatures w14:val="none"/>
        </w:rPr>
        <w:t>inquietanti  conoscenze</w:t>
      </w:r>
      <w:proofErr w:type="gramEnd"/>
      <w:r w:rsidRPr="00E16FA5">
        <w:rPr>
          <w:rFonts w:ascii="Calibri" w:eastAsia="Times New Roman" w:hAnsi="Calibri" w:cs="Times New Roman"/>
          <w:b/>
          <w:bCs/>
          <w:color w:val="C00000"/>
          <w:kern w:val="0"/>
          <w:sz w:val="24"/>
          <w:szCs w:val="24"/>
          <w:u w:val="single"/>
          <w14:ligatures w14:val="none"/>
        </w:rPr>
        <w:t xml:space="preserve"> di Giorgetti.</w:t>
      </w:r>
    </w:p>
    <w:p w14:paraId="7E58F620" w14:textId="77777777" w:rsidR="00E16FA5" w:rsidRDefault="00E16FA5" w:rsidP="00E16FA5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Leghista, bene informato a conoscenza dei fatti concreti. Un Ministro che ha il dovere di informare </w:t>
      </w:r>
      <w:proofErr w:type="gramStart"/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il  suo</w:t>
      </w:r>
      <w:proofErr w:type="gramEnd"/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Presidente sulla entità del problema, a partire da quanto sosteneva la necessità dello scioglimento delle Regioni. Esisteva una legge mai rispettata, ma tutti hanno “dimenticato” di dare al Sud i soldi dovuti in base al “fondo perequativo”. </w:t>
      </w:r>
    </w:p>
    <w:p w14:paraId="7EFD6A0A" w14:textId="77777777" w:rsidR="00E16FA5" w:rsidRDefault="00E16FA5" w:rsidP="00E16FA5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È facile affermare che se fosse stata applicata la norma, ai Comuni del SUD,  sarebbero arrivati decine e decine di milioni in più, anche centinaia.</w:t>
      </w:r>
    </w:p>
    <w:p w14:paraId="7803E661" w14:textId="77777777" w:rsidR="00E16FA5" w:rsidRDefault="00E16FA5" w:rsidP="00E16FA5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I trasferimenti dallo Stato centrale ai Comuni, previsti dal federalismo fiscale non sono stati pienamente attuati e non funzionano come dovrebbero. </w:t>
      </w:r>
    </w:p>
    <w:p w14:paraId="41632F96" w14:textId="77777777" w:rsidR="00E16FA5" w:rsidRDefault="00E16FA5" w:rsidP="00E16FA5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Se </w:t>
      </w:r>
      <w:bookmarkStart w:id="0" w:name="_Hlk127979642"/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la distribuzione di finanziamenti e risorse funzionasse come previsto dalla Costituzione e dalla stessa legge sul Federalismo Fiscale (legge 42/2009 detta “Legge Calderoli”) le cose andrebbero diversamente. </w:t>
      </w:r>
      <w:bookmarkEnd w:id="0"/>
      <w:proofErr w:type="gramStart"/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Ad esempio</w:t>
      </w:r>
      <w:proofErr w:type="gramEnd"/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la legge prevedeva di istituire </w:t>
      </w:r>
      <w:r w:rsidRPr="00E16FA5">
        <w:rPr>
          <w:rFonts w:ascii="Calibri" w:eastAsia="Times New Roman" w:hAnsi="Calibri" w:cs="Times New Roman"/>
          <w:b/>
          <w:bCs/>
          <w:color w:val="C00000"/>
          <w:kern w:val="0"/>
          <w:sz w:val="24"/>
          <w:szCs w:val="24"/>
          <w:u w:val="single"/>
          <w14:ligatures w14:val="none"/>
        </w:rPr>
        <w:t>il fondo perequativo</w:t>
      </w:r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: un fondo di solidarietà dei comuni (che nel 2015 ammontava a 747 milioni di euro) ideato per coprire integralmente la differenza tra la capacità fiscale di ogni comune (sostanzialmente i proventi di IMU e TASI) e il fabbisogno per i servizi ai cittadini. </w:t>
      </w:r>
    </w:p>
    <w:p w14:paraId="57D18FDA" w14:textId="77777777" w:rsidR="00E16FA5" w:rsidRDefault="00E16FA5" w:rsidP="00E16FA5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Ma i “territori </w:t>
      </w:r>
      <w:proofErr w:type="gramStart"/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forti”  hanno</w:t>
      </w:r>
      <w:proofErr w:type="gramEnd"/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chiesto e ottenuto uno sconto, per cui oggi il meccanismo «si applica per il 22,5%”, per il resto lo Stato versa ai comuni le risorse sulla base della spesa storica. </w:t>
      </w:r>
    </w:p>
    <w:p w14:paraId="2474AC27" w14:textId="15256CF4" w:rsidR="00E16FA5" w:rsidRPr="00E16FA5" w:rsidRDefault="00E16FA5" w:rsidP="00E16FA5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:u w:val="single"/>
          <w14:ligatures w14:val="none"/>
        </w:rPr>
      </w:pPr>
      <w:r w:rsidRPr="00E16FA5">
        <w:rPr>
          <w:rFonts w:ascii="Calibri" w:eastAsia="Times New Roman" w:hAnsi="Calibri" w:cs="Times New Roman"/>
          <w:kern w:val="0"/>
          <w:sz w:val="24"/>
          <w:szCs w:val="24"/>
          <w:highlight w:val="yellow"/>
          <w:u w:val="single"/>
          <w14:ligatures w14:val="none"/>
        </w:rPr>
        <w:t xml:space="preserve">Eppure </w:t>
      </w:r>
      <w:hyperlink r:id="rId4" w:history="1">
        <w:r w:rsidRPr="00E16FA5">
          <w:rPr>
            <w:rFonts w:ascii="Calibri" w:eastAsia="Times New Roman" w:hAnsi="Calibri" w:cs="Times New Roman"/>
            <w:kern w:val="0"/>
            <w:sz w:val="24"/>
            <w:szCs w:val="24"/>
            <w:highlight w:val="yellow"/>
            <w:u w:val="single"/>
            <w14:ligatures w14:val="none"/>
          </w:rPr>
          <w:t xml:space="preserve">in un’audizione (anno 2015) </w:t>
        </w:r>
      </w:hyperlink>
      <w:r w:rsidRPr="00E16FA5">
        <w:rPr>
          <w:rFonts w:ascii="Calibri" w:eastAsia="Times New Roman" w:hAnsi="Calibri" w:cs="Times New Roman"/>
          <w:kern w:val="0"/>
          <w:sz w:val="24"/>
          <w:szCs w:val="24"/>
          <w:highlight w:val="yellow"/>
          <w:u w:val="single"/>
          <w14:ligatures w14:val="none"/>
        </w:rPr>
        <w:t> alla Commissione bicamerale federalismo presieduta all’epoca dall’onorevole</w:t>
      </w:r>
      <w:hyperlink r:id="rId5" w:history="1">
        <w:r w:rsidRPr="00E16FA5">
          <w:rPr>
            <w:rFonts w:ascii="Calibri" w:eastAsia="Times New Roman" w:hAnsi="Calibri" w:cs="Times New Roman"/>
            <w:kern w:val="0"/>
            <w:sz w:val="24"/>
            <w:szCs w:val="24"/>
            <w:highlight w:val="yellow"/>
            <w:u w:val="single"/>
            <w14:ligatures w14:val="none"/>
          </w:rPr>
          <w:t> Giancarlo Giorgetti</w:t>
        </w:r>
      </w:hyperlink>
      <w:r w:rsidRPr="00E16FA5">
        <w:rPr>
          <w:rFonts w:ascii="Calibri" w:eastAsia="Times New Roman" w:hAnsi="Calibri" w:cs="Times New Roman"/>
          <w:kern w:val="0"/>
          <w:sz w:val="24"/>
          <w:szCs w:val="24"/>
          <w:highlight w:val="yellow"/>
          <w:u w:val="single"/>
          <w14:ligatures w14:val="none"/>
        </w:rPr>
        <w:t> la Direttrice generale del Dipartimento delle finanze del Ministero dell’economia e delle finanze Fabrizia Lapecorella spiegò che il criterio della ripartizione delle risorse basato sulla spesa storica “è una misura inadeguata della capacità fiscale” .</w:t>
      </w:r>
    </w:p>
    <w:p w14:paraId="753FDBE3" w14:textId="77777777" w:rsidR="00E16FA5" w:rsidRDefault="00E16FA5" w:rsidP="00E16FA5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Il motivo è che il differenziale tra l’ammontare di gettito raccolto dai governi regionali locali e la capacità fiscale è collegato al diverso grado di compliance dei contribuenti, a parità di sforzo impositivo.  Non bisogna essere dei fenomeni, per capire che il criterio della ripartizione basato sulle risorse storiche, cioè quello che è stato utilizzato per l’80 per cento della ripartizione del fondo, anzitutto ha questo primo problema, ossia di scontare la differenza di compliance nei diversi comuni».                                                                               </w:t>
      </w:r>
    </w:p>
    <w:p w14:paraId="0E03E01D" w14:textId="77777777" w:rsidR="00E16FA5" w:rsidRDefault="00E16FA5" w:rsidP="00E16FA5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Esiste un punto storico: nella bicamerale Giorgetti chiese una simulazione sul fondo perequativo per i comuni, ma poi non ci bada. Ma perché gli altri deputati componenti della commissione si “zittirono”, la stampa occulta da anni la verità</w:t>
      </w:r>
      <w:proofErr w:type="gramStart"/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”,  le</w:t>
      </w:r>
      <w:proofErr w:type="gramEnd"/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regioni del Meridione  non chiedono il conguaglio? Domande che non ricevono risposta, eppure il tema era semplice. </w:t>
      </w:r>
    </w:p>
    <w:p w14:paraId="72F972EB" w14:textId="77777777" w:rsidR="00E16FA5" w:rsidRDefault="00E16FA5" w:rsidP="00E16FA5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Chiedendosi cosa succederebbe «se venisse applicata non il 20 per cento, ma il 100 per cento della perequazione». </w:t>
      </w:r>
    </w:p>
    <w:p w14:paraId="76829479" w14:textId="0A86DDD9" w:rsidR="00E16FA5" w:rsidRDefault="00E16FA5" w:rsidP="00E16FA5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Ma quale sarebbe stato l’effetto di una perequazione piena, non ha trovato risposta in quella bicamerale. </w:t>
      </w:r>
    </w:p>
    <w:p w14:paraId="2053FC0C" w14:textId="77777777" w:rsidR="00E16FA5" w:rsidRDefault="00E16FA5" w:rsidP="00E16FA5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Quei dati, che la dottoressa Lapecorella,  aveva promesso di trasmettere alla Camera, non sono mai stati resi pubblici e non sono stati messi agli atti della seduta della Commissione. </w:t>
      </w:r>
    </w:p>
    <w:p w14:paraId="2AFD1668" w14:textId="66BA9E33" w:rsidR="00E16FA5" w:rsidRPr="00E16FA5" w:rsidRDefault="00E16FA5" w:rsidP="00E16FA5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Sull’AD bisogna ripartire da quel punto, perché il quadro della situazione reale, sulla sperequazione determinatisi era chiaro a tutti, ma nessuno era disponibile a “denunciare” la situazione per ritornare al rispetto degli impegni assunti, anche per un riequilibrio a favore del Mezzogiorno, attraverso la previsione del Fondo di Perequazione. </w:t>
      </w:r>
    </w:p>
    <w:p w14:paraId="4E16DD55" w14:textId="77777777" w:rsidR="00E16FA5" w:rsidRDefault="00E16FA5" w:rsidP="00E16FA5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16FA5">
        <w:rPr>
          <w:rFonts w:ascii="Calibri" w:eastAsia="Times New Roman" w:hAnsi="Calibri" w:cs="Calibri"/>
          <w:noProof/>
          <w:color w:val="5F656C"/>
          <w:kern w:val="0"/>
          <w:sz w:val="24"/>
          <w:szCs w:val="24"/>
          <w:lang w:eastAsia="it-IT"/>
          <w14:ligatures w14:val="none"/>
        </w:rPr>
        <w:drawing>
          <wp:inline distT="0" distB="0" distL="0" distR="0" wp14:anchorId="6DD001C4" wp14:editId="06A6738D">
            <wp:extent cx="5905500" cy="4076700"/>
            <wp:effectExtent l="0" t="0" r="0" b="0"/>
            <wp:docPr id="8" name="Immagine 8" descr="chi ci perde con il federalism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i ci perde con il federalismo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467" cy="412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7BD9D" w14:textId="77777777" w:rsidR="00E16FA5" w:rsidRDefault="00E16FA5" w:rsidP="00E16FA5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4A515D23" w14:textId="5E35F7FE" w:rsidR="00E16FA5" w:rsidRPr="00E16FA5" w:rsidRDefault="00E16FA5" w:rsidP="00E16FA5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Ma chi ci perde con il federalismo ? (Il Mattino, 4 novembre 2019) I problemi guarda caso sono iniziati a partire dal 2014-2015, ovvero con la fine del regime transitorio di cinque anni stabilito dalla legge 42 del 2009. I cittadini dei comuni del Sud sono quelli che risultano essere maggiormente penalizzati dal sistema di ripartizione dei finanziamenti attualmente in vigore. Inoltre, spiegava Lapecorella: «ciascun comune che ha una capacità fiscale inferiore ai fabbisogni standard non riceve il 100 per cento di questa differenza, ma soltanto il 45,8 per cento». In pratica i Comuni raccolgono meno soldi di quanto sarebbe necessario per coprire i fabbisogni, ma lo Stato non ridistribuisce tutto quello che manca per arrivare a coprire il 100% del fabbisogno. Questo significa meno risorse per i cittadini, ed è evidente che il fondo di solidarietà così come è attuato non è in grado </w:t>
      </w:r>
      <w:proofErr w:type="gramStart"/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i colmare</w:t>
      </w:r>
      <w:proofErr w:type="gramEnd"/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il gap (che è complessivamente di circa 8 miliardi). </w:t>
      </w:r>
      <w:proofErr w:type="gramStart"/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Eppure</w:t>
      </w:r>
      <w:proofErr w:type="gramEnd"/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la Legge prevedeva che la perequazione coprisse la differenza tra il fabbisogno standard e il gettito dei tributi ad essi dedicati. Come è potuto succedere che nel passaggio dalla fase transitoria a quella a regime del Federalismo Fiscale sia stato deciso sostanzialmente di lasciare indietro molti comuni del Sud </w:t>
      </w:r>
      <w:proofErr w:type="gramStart"/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>e  di</w:t>
      </w:r>
      <w:proofErr w:type="gramEnd"/>
      <w:r w:rsidRPr="00E16FA5"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  <w:t xml:space="preserve"> non finanziare il Fondo in maniera da garantire la ripartizione delle risorse a livello territoriale.</w:t>
      </w:r>
    </w:p>
    <w:p w14:paraId="2E6EDAE3" w14:textId="77777777" w:rsidR="00E16FA5" w:rsidRPr="00E16FA5" w:rsidRDefault="00E16FA5" w:rsidP="00E16FA5">
      <w:pPr>
        <w:spacing w:after="0" w:line="240" w:lineRule="auto"/>
        <w:rPr>
          <w:rFonts w:ascii="Calibri" w:eastAsia="Times New Roman" w:hAnsi="Calibri" w:cs="Times New Roman"/>
          <w:kern w:val="0"/>
          <w:sz w:val="24"/>
          <w:szCs w:val="24"/>
          <w14:ligatures w14:val="none"/>
        </w:rPr>
      </w:pPr>
    </w:p>
    <w:p w14:paraId="2FCA7614" w14:textId="77777777" w:rsidR="002053B5" w:rsidRDefault="002053B5"/>
    <w:sectPr w:rsidR="002053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3B5"/>
    <w:rsid w:val="002053B5"/>
    <w:rsid w:val="00E1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9388"/>
  <w15:chartTrackingRefBased/>
  <w15:docId w15:val="{E0A0EBDC-6846-484E-9D14-E582D509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nextquotidiano.it/tag/giorgetti/" TargetMode="External"/><Relationship Id="rId4" Type="http://schemas.openxmlformats.org/officeDocument/2006/relationships/hyperlink" Target="http://documenti.camera.it/leg17/resoconti/commissioni/stenografici/html/62/audiz2/audizione/2015/04/30/indice_stenografico.0045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761</Words>
  <Characters>4342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Leone</dc:creator>
  <cp:keywords/>
  <dc:description/>
  <cp:lastModifiedBy>Franco Leone</cp:lastModifiedBy>
  <cp:revision>2</cp:revision>
  <dcterms:created xsi:type="dcterms:W3CDTF">2023-02-23T22:12:00Z</dcterms:created>
  <dcterms:modified xsi:type="dcterms:W3CDTF">2023-02-23T22:16:00Z</dcterms:modified>
</cp:coreProperties>
</file>